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AE175" w14:textId="77777777" w:rsidR="001D5B89" w:rsidRDefault="001D5B89" w:rsidP="001D5B89">
      <w:r>
        <w:rPr>
          <w:noProof/>
          <w:lang w:val="pt-BR" w:eastAsia="pt-BR"/>
        </w:rPr>
        <w:drawing>
          <wp:anchor distT="0" distB="0" distL="114300" distR="114300" simplePos="0" relativeHeight="251658240" behindDoc="0" locked="0" layoutInCell="1" allowOverlap="1" wp14:anchorId="2A5021B4" wp14:editId="7C36411B">
            <wp:simplePos x="0" y="0"/>
            <wp:positionH relativeFrom="column">
              <wp:posOffset>53083</wp:posOffset>
            </wp:positionH>
            <wp:positionV relativeFrom="paragraph">
              <wp:posOffset>392</wp:posOffset>
            </wp:positionV>
            <wp:extent cx="5486400" cy="1860550"/>
            <wp:effectExtent l="0" t="0" r="0" b="6350"/>
            <wp:wrapThrough wrapText="bothSides">
              <wp:wrapPolygon edited="0">
                <wp:start x="13650" y="663"/>
                <wp:lineTo x="12825" y="1548"/>
                <wp:lineTo x="12375" y="6635"/>
                <wp:lineTo x="12375" y="8183"/>
                <wp:lineTo x="3525" y="9510"/>
                <wp:lineTo x="2925" y="9731"/>
                <wp:lineTo x="2925" y="11722"/>
                <wp:lineTo x="0" y="12164"/>
                <wp:lineTo x="0" y="14597"/>
                <wp:lineTo x="9825" y="15260"/>
                <wp:lineTo x="9825" y="18799"/>
                <wp:lineTo x="10275" y="21453"/>
                <wp:lineTo x="10950" y="21453"/>
                <wp:lineTo x="11400" y="21453"/>
                <wp:lineTo x="12375" y="19683"/>
                <wp:lineTo x="12300" y="18799"/>
                <wp:lineTo x="18600" y="18799"/>
                <wp:lineTo x="21525" y="17693"/>
                <wp:lineTo x="21525" y="5971"/>
                <wp:lineTo x="14325" y="4644"/>
                <wp:lineTo x="14025" y="663"/>
                <wp:lineTo x="13650" y="663"/>
              </wp:wrapPolygon>
            </wp:wrapThrough>
            <wp:docPr id="7" name="Imagem 7" descr="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Logotipo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E8160C" w14:textId="77777777" w:rsidR="001D5B89" w:rsidRDefault="001D5B89" w:rsidP="001D5B89">
      <w:pPr>
        <w:jc w:val="center"/>
      </w:pPr>
    </w:p>
    <w:p w14:paraId="05A2D4AE" w14:textId="77777777" w:rsidR="001D5B89" w:rsidRDefault="001D5B89" w:rsidP="001D5B89">
      <w:pPr>
        <w:jc w:val="center"/>
      </w:pPr>
    </w:p>
    <w:p w14:paraId="52C5D6AD" w14:textId="77777777" w:rsidR="001D5B89" w:rsidRDefault="001D5B89" w:rsidP="001D5B89">
      <w:pPr>
        <w:jc w:val="center"/>
      </w:pPr>
    </w:p>
    <w:p w14:paraId="0AC97EEC" w14:textId="77777777" w:rsidR="001D5B89" w:rsidRDefault="001D5B89" w:rsidP="001D5B89">
      <w:pPr>
        <w:jc w:val="center"/>
      </w:pPr>
    </w:p>
    <w:p w14:paraId="6F16CF91" w14:textId="77777777" w:rsidR="001D5B89" w:rsidRDefault="001D5B89" w:rsidP="001D5B89">
      <w:pPr>
        <w:jc w:val="center"/>
      </w:pPr>
    </w:p>
    <w:p w14:paraId="5925D17B" w14:textId="77777777" w:rsidR="001D5B89" w:rsidRDefault="001D5B89" w:rsidP="001D5B89">
      <w:pPr>
        <w:jc w:val="center"/>
      </w:pPr>
    </w:p>
    <w:p w14:paraId="1AE2336D" w14:textId="77777777" w:rsidR="001D5B89" w:rsidRDefault="001D5B89" w:rsidP="001D5B89">
      <w:pPr>
        <w:jc w:val="center"/>
      </w:pPr>
    </w:p>
    <w:p w14:paraId="72DBAAF8" w14:textId="77777777" w:rsidR="001D5B89" w:rsidRDefault="001D5B89" w:rsidP="001D5B89">
      <w:pPr>
        <w:jc w:val="center"/>
      </w:pPr>
    </w:p>
    <w:p w14:paraId="703AEC25" w14:textId="77777777" w:rsidR="001D5B89" w:rsidRDefault="001D5B89" w:rsidP="001D5B89">
      <w:pPr>
        <w:jc w:val="center"/>
      </w:pPr>
      <w:r>
        <w:t>GOVERNO DO ESTADO DO PIAUÍ</w:t>
      </w:r>
    </w:p>
    <w:p w14:paraId="1F82319E" w14:textId="77777777" w:rsidR="001D5B89" w:rsidRDefault="001D5B89" w:rsidP="001D5B89">
      <w:pPr>
        <w:jc w:val="center"/>
      </w:pPr>
      <w:r>
        <w:t>SECRETARIA DE ESTADO DA SAÚDE - SESAPI</w:t>
      </w:r>
    </w:p>
    <w:p w14:paraId="60B63CB5" w14:textId="77777777" w:rsidR="001D5B89" w:rsidRDefault="001D5B89" w:rsidP="001D5B89">
      <w:pPr>
        <w:jc w:val="center"/>
      </w:pPr>
      <w:r>
        <w:br/>
      </w:r>
      <w:r>
        <w:br/>
      </w:r>
    </w:p>
    <w:p w14:paraId="4A43E271" w14:textId="77777777" w:rsidR="001D5B89" w:rsidRDefault="001D5B89" w:rsidP="001D5B89">
      <w:pPr>
        <w:jc w:val="center"/>
      </w:pPr>
      <w:r>
        <w:rPr>
          <w:b/>
        </w:rPr>
        <w:t>PROCEDIMENTO OPERACIONAL PADRÃO (POP)</w:t>
      </w:r>
    </w:p>
    <w:p w14:paraId="2952D81A" w14:textId="77777777" w:rsidR="001D5B89" w:rsidRDefault="001D5B89" w:rsidP="001D5B89">
      <w:pPr>
        <w:jc w:val="center"/>
      </w:pPr>
      <w:r>
        <w:t>TRATAMENTO FORA DE DOMICÍLIO - TFD</w:t>
      </w:r>
    </w:p>
    <w:p w14:paraId="6A39291F" w14:textId="77777777" w:rsidR="001D5B89" w:rsidRDefault="001D5B89" w:rsidP="001D5B89">
      <w:pPr>
        <w:jc w:val="center"/>
      </w:pPr>
      <w:r>
        <w:br/>
      </w:r>
      <w:r>
        <w:br/>
      </w:r>
      <w:r>
        <w:br/>
      </w:r>
      <w:r>
        <w:br/>
      </w:r>
    </w:p>
    <w:p w14:paraId="2DEB75A3" w14:textId="77777777" w:rsidR="001D5B89" w:rsidRDefault="001D5B89" w:rsidP="001D5B89">
      <w:pPr>
        <w:jc w:val="center"/>
      </w:pPr>
      <w:r>
        <w:t>Teresina - PI</w:t>
      </w:r>
    </w:p>
    <w:p w14:paraId="3D0CACDB" w14:textId="77777777" w:rsidR="001D5B89" w:rsidRDefault="001D5B89" w:rsidP="001D5B89">
      <w:pPr>
        <w:jc w:val="center"/>
      </w:pPr>
      <w:r>
        <w:t>2025</w:t>
      </w:r>
    </w:p>
    <w:p w14:paraId="16B3F723" w14:textId="77777777" w:rsidR="001D5B89" w:rsidRDefault="001D5B89">
      <w:pPr>
        <w:pStyle w:val="Ttulo1"/>
      </w:pPr>
      <w:r>
        <w:br/>
      </w:r>
    </w:p>
    <w:p w14:paraId="138929D9" w14:textId="77777777" w:rsidR="001D5B89" w:rsidRDefault="001D5B89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65EC0705" w14:textId="77777777" w:rsidR="001D5B89" w:rsidRDefault="001D5B89">
      <w:pPr>
        <w:pStyle w:val="Ttulo1"/>
      </w:pPr>
    </w:p>
    <w:p w14:paraId="65A46E80" w14:textId="52E99453" w:rsidR="00D1332B" w:rsidRDefault="00000000">
      <w:pPr>
        <w:pStyle w:val="Ttulo1"/>
      </w:pPr>
      <w:r>
        <w:t xml:space="preserve">POP – </w:t>
      </w:r>
      <w:proofErr w:type="spellStart"/>
      <w:r>
        <w:t>Procedimento</w:t>
      </w:r>
      <w:proofErr w:type="spellEnd"/>
      <w:r>
        <w:t xml:space="preserve"> </w:t>
      </w:r>
      <w:proofErr w:type="spellStart"/>
      <w:r>
        <w:t>Operacional</w:t>
      </w:r>
      <w:proofErr w:type="spellEnd"/>
      <w:r>
        <w:t xml:space="preserve"> </w:t>
      </w:r>
      <w:proofErr w:type="spellStart"/>
      <w:r>
        <w:t>Padrão</w:t>
      </w:r>
      <w:proofErr w:type="spellEnd"/>
      <w:r>
        <w:br/>
        <w:t>Tratamento Fora de Domicílio – TFD (SESAPI/PI)</w:t>
      </w:r>
    </w:p>
    <w:p w14:paraId="796D9778" w14:textId="77777777" w:rsidR="001D5B89" w:rsidRPr="001D5B89" w:rsidRDefault="001D5B89" w:rsidP="001D5B89"/>
    <w:p w14:paraId="70300B26" w14:textId="77777777" w:rsidR="00D1332B" w:rsidRDefault="00000000">
      <w:pPr>
        <w:pStyle w:val="Ttulo2"/>
      </w:pPr>
      <w:r>
        <w:t>1. Objetivo</w:t>
      </w:r>
    </w:p>
    <w:p w14:paraId="7E28AB29" w14:textId="77777777" w:rsidR="00D1332B" w:rsidRDefault="00000000">
      <w:r>
        <w:t>Estabelecer rotinas padronizadas para concessão, análise, autorização, operacionalização e prestação de contas do TFD, conforme o Manual do TFD 2024.</w:t>
      </w:r>
    </w:p>
    <w:p w14:paraId="75FEAFD2" w14:textId="77777777" w:rsidR="001D5B89" w:rsidRDefault="001D5B89"/>
    <w:p w14:paraId="793B358F" w14:textId="77777777" w:rsidR="00D1332B" w:rsidRDefault="00000000">
      <w:pPr>
        <w:pStyle w:val="Ttulo2"/>
      </w:pPr>
      <w:r>
        <w:t>2. Abrangência</w:t>
      </w:r>
    </w:p>
    <w:p w14:paraId="6F829DEA" w14:textId="77777777" w:rsidR="00D1332B" w:rsidRDefault="00000000">
      <w:r>
        <w:t>Aplica-se a todos os servidores da SESAPI e Regionais de Saúde envolvidos nos processos de:</w:t>
      </w:r>
      <w:r>
        <w:br/>
        <w:t>- Protocolo do TFD;</w:t>
      </w:r>
      <w:r>
        <w:br/>
        <w:t>- Auditoria médica;</w:t>
      </w:r>
      <w:r>
        <w:br/>
        <w:t>- Serviço Social;</w:t>
      </w:r>
      <w:r>
        <w:br/>
        <w:t>- Coordenação do TFD;</w:t>
      </w:r>
      <w:r>
        <w:br/>
        <w:t>- Diretoria DUCARA;</w:t>
      </w:r>
      <w:r>
        <w:br/>
        <w:t xml:space="preserve">- Fundo Estadual de </w:t>
      </w:r>
      <w:proofErr w:type="spellStart"/>
      <w:r>
        <w:t>Saúde</w:t>
      </w:r>
      <w:proofErr w:type="spellEnd"/>
      <w:r>
        <w:t xml:space="preserve"> – FES.</w:t>
      </w:r>
    </w:p>
    <w:p w14:paraId="4FF44185" w14:textId="77777777" w:rsidR="001D5B89" w:rsidRDefault="001D5B89"/>
    <w:p w14:paraId="00F11AAA" w14:textId="77777777" w:rsidR="00D1332B" w:rsidRDefault="00000000">
      <w:pPr>
        <w:pStyle w:val="Ttulo2"/>
      </w:pPr>
      <w:r>
        <w:t>3. Referências</w:t>
      </w:r>
    </w:p>
    <w:p w14:paraId="3C989A97" w14:textId="77777777" w:rsidR="00D1332B" w:rsidRDefault="00000000">
      <w:r>
        <w:t>• Portaria SAS/GM/MS nº 055, de 24/02/1999;</w:t>
      </w:r>
      <w:r>
        <w:br/>
        <w:t>• Resolução CIB/PI nº 058/2007, alterada pela Resolução nº 038/2009 e CIB/2023;</w:t>
      </w:r>
      <w:r>
        <w:br/>
        <w:t>• Manual do TFD – SESAPI 2024.</w:t>
      </w:r>
    </w:p>
    <w:p w14:paraId="710FF76E" w14:textId="77777777" w:rsidR="001D5B89" w:rsidRDefault="001D5B89"/>
    <w:p w14:paraId="456F5A7D" w14:textId="77777777" w:rsidR="00D1332B" w:rsidRDefault="00000000">
      <w:pPr>
        <w:pStyle w:val="Ttulo2"/>
      </w:pPr>
      <w:r>
        <w:t>4. Definições</w:t>
      </w:r>
    </w:p>
    <w:p w14:paraId="5BEF453A" w14:textId="77777777" w:rsidR="00D1332B" w:rsidRDefault="00000000">
      <w:r>
        <w:t>• TFD: Auxílio financeiro destinado a pacientes que necessitam realizar tratamento de média ou alta complexidade fora do município de residência.</w:t>
      </w:r>
      <w:r>
        <w:br/>
        <w:t>• Beneficiário: Usuário do SUS residente no Piauí, com laudo médico e indicação para tratamento fora de domicílio.</w:t>
      </w:r>
      <w:r>
        <w:br/>
        <w:t xml:space="preserve">• Acompanhante: Pessoa autorizada </w:t>
      </w:r>
      <w:proofErr w:type="gramStart"/>
      <w:r>
        <w:t>a</w:t>
      </w:r>
      <w:proofErr w:type="gramEnd"/>
      <w:r>
        <w:t xml:space="preserve"> acompanhar o beneficiário, quando necessário, conforme critérios clínicos e </w:t>
      </w:r>
      <w:proofErr w:type="spellStart"/>
      <w:r>
        <w:t>análise</w:t>
      </w:r>
      <w:proofErr w:type="spellEnd"/>
      <w:r>
        <w:t xml:space="preserve"> do auditor.</w:t>
      </w:r>
    </w:p>
    <w:p w14:paraId="2901A6E0" w14:textId="77777777" w:rsidR="001D5B89" w:rsidRDefault="001D5B89"/>
    <w:p w14:paraId="053F976B" w14:textId="77777777" w:rsidR="00D1332B" w:rsidRDefault="00000000">
      <w:pPr>
        <w:pStyle w:val="Ttulo2"/>
      </w:pPr>
      <w:r>
        <w:t>5. Responsabilidades</w:t>
      </w:r>
    </w:p>
    <w:p w14:paraId="73A09313" w14:textId="77777777" w:rsidR="00D1332B" w:rsidRDefault="00000000">
      <w:r>
        <w:t>• Beneficiário/acompanhante: Entregar documentação, realizar deslocamentos conforme autorizado, prestar contas em até 5 dias úteis.</w:t>
      </w:r>
      <w:r>
        <w:br/>
      </w:r>
      <w:r>
        <w:lastRenderedPageBreak/>
        <w:t>• Auditoria Médica TFD: Analisar solicitações, deferir ou indeferir, verificar conformidade técnica e clínica.</w:t>
      </w:r>
      <w:r>
        <w:br/>
        <w:t>• Coordenação TFD: Receber processos, preparar documentação, articular com unidades de referência.</w:t>
      </w:r>
      <w:r>
        <w:br/>
        <w:t>• Serviço Social: Apoiar beneficiário e família no processo de regulação e acompanhamento.</w:t>
      </w:r>
      <w:r>
        <w:br/>
        <w:t>• DUCARA: Encaminhar processos autorizados ao Fundo Estadual de Saúde.</w:t>
      </w:r>
      <w:r>
        <w:br/>
        <w:t xml:space="preserve">• FES: </w:t>
      </w:r>
      <w:proofErr w:type="spellStart"/>
      <w:r>
        <w:t>Efetuar</w:t>
      </w:r>
      <w:proofErr w:type="spellEnd"/>
      <w:r>
        <w:t xml:space="preserve"> </w:t>
      </w:r>
      <w:proofErr w:type="spellStart"/>
      <w:r>
        <w:t>pagamentos</w:t>
      </w:r>
      <w:proofErr w:type="spellEnd"/>
      <w:r>
        <w:t xml:space="preserve"> </w:t>
      </w:r>
      <w:proofErr w:type="spellStart"/>
      <w:r>
        <w:t>autorizados</w:t>
      </w:r>
      <w:proofErr w:type="spellEnd"/>
      <w:r>
        <w:t>.</w:t>
      </w:r>
    </w:p>
    <w:p w14:paraId="229365D2" w14:textId="77777777" w:rsidR="001D5B89" w:rsidRDefault="001D5B89"/>
    <w:p w14:paraId="72372A5F" w14:textId="77777777" w:rsidR="00D1332B" w:rsidRDefault="00000000">
      <w:pPr>
        <w:pStyle w:val="Ttulo2"/>
      </w:pPr>
      <w:r>
        <w:t>6. Documentos Necessários para Solicitação</w:t>
      </w:r>
    </w:p>
    <w:p w14:paraId="4961830F" w14:textId="77777777" w:rsidR="00D1332B" w:rsidRDefault="00000000">
      <w:r>
        <w:t>1. Laudo TFD (Anexo II do Manual), preenchido pelo médico assistente.</w:t>
      </w:r>
      <w:r>
        <w:br/>
        <w:t>2. CNS do paciente.</w:t>
      </w:r>
      <w:r>
        <w:br/>
        <w:t>3. Comprovante de endereço.</w:t>
      </w:r>
      <w:r>
        <w:br/>
        <w:t>4. Identidade e CPF do paciente e/ou responsável.</w:t>
      </w:r>
      <w:r>
        <w:br/>
        <w:t>5. Exames e documentos comprobatórios.</w:t>
      </w:r>
      <w:r>
        <w:br/>
        <w:t xml:space="preserve">6. Documentos do </w:t>
      </w:r>
      <w:proofErr w:type="spellStart"/>
      <w:r>
        <w:t>acompanhante</w:t>
      </w:r>
      <w:proofErr w:type="spellEnd"/>
      <w:r>
        <w:t xml:space="preserve"> (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houver</w:t>
      </w:r>
      <w:proofErr w:type="spellEnd"/>
      <w:r>
        <w:t>).</w:t>
      </w:r>
    </w:p>
    <w:p w14:paraId="5AA0FFD9" w14:textId="77777777" w:rsidR="001D5B89" w:rsidRDefault="001D5B89"/>
    <w:p w14:paraId="3CEDBCBA" w14:textId="77777777" w:rsidR="00D1332B" w:rsidRDefault="00000000">
      <w:pPr>
        <w:pStyle w:val="Ttulo2"/>
      </w:pPr>
      <w:r>
        <w:t>7. Fluxo Operacional (Resumido)</w:t>
      </w:r>
    </w:p>
    <w:p w14:paraId="076E0317" w14:textId="77777777" w:rsidR="00D1332B" w:rsidRDefault="00000000">
      <w:r>
        <w:t>1. Beneficiário protocola solicitação no TFD.</w:t>
      </w:r>
      <w:r>
        <w:br/>
        <w:t>2. Auditoria TFD avalia (autoriza ou indefere).</w:t>
      </w:r>
      <w:r>
        <w:br/>
        <w:t xml:space="preserve">   - Autorizado → Confirmação do atendimento/agendamento.</w:t>
      </w:r>
      <w:r>
        <w:br/>
        <w:t xml:space="preserve">   - Indeferido → Arquivamento.</w:t>
      </w:r>
      <w:r>
        <w:br/>
        <w:t>3. Coordenação TFD organiza processo.</w:t>
      </w:r>
      <w:r>
        <w:br/>
        <w:t xml:space="preserve">   - Casos com compra de passagens → encaminhar ao setor responsável.</w:t>
      </w:r>
      <w:r>
        <w:br/>
        <w:t xml:space="preserve">   - Casos sem compra de passagens → anexar comprovantes.</w:t>
      </w:r>
      <w:r>
        <w:br/>
        <w:t>4. DUCARA recebe e encaminha ao FES.</w:t>
      </w:r>
      <w:r>
        <w:br/>
        <w:t>5. FES libera pagamentos.</w:t>
      </w:r>
      <w:r>
        <w:br/>
        <w:t xml:space="preserve">6. </w:t>
      </w:r>
      <w:proofErr w:type="spellStart"/>
      <w:r>
        <w:t>Beneficiário</w:t>
      </w:r>
      <w:proofErr w:type="spellEnd"/>
      <w:r>
        <w:t>/</w:t>
      </w:r>
      <w:proofErr w:type="spellStart"/>
      <w:r>
        <w:t>acompanhante</w:t>
      </w:r>
      <w:proofErr w:type="spellEnd"/>
      <w:r>
        <w:t xml:space="preserve"> </w:t>
      </w:r>
      <w:proofErr w:type="spellStart"/>
      <w:r>
        <w:t>presta</w:t>
      </w:r>
      <w:proofErr w:type="spellEnd"/>
      <w:r>
        <w:t xml:space="preserve"> </w:t>
      </w:r>
      <w:proofErr w:type="spellStart"/>
      <w:r>
        <w:t>contas</w:t>
      </w:r>
      <w:proofErr w:type="spellEnd"/>
      <w:r>
        <w:t>.</w:t>
      </w:r>
    </w:p>
    <w:p w14:paraId="7EE476C3" w14:textId="77777777" w:rsidR="001D5B89" w:rsidRDefault="001D5B89"/>
    <w:p w14:paraId="227942D4" w14:textId="77777777" w:rsidR="00D1332B" w:rsidRDefault="00000000">
      <w:pPr>
        <w:pStyle w:val="Ttulo2"/>
      </w:pPr>
      <w:r>
        <w:t>8. Critérios de Autorização</w:t>
      </w:r>
    </w:p>
    <w:p w14:paraId="21057EB5" w14:textId="77777777" w:rsidR="00D1332B" w:rsidRDefault="00000000">
      <w:r>
        <w:t>- Ausência de tratamento no município/região de saúde.</w:t>
      </w:r>
      <w:r>
        <w:br/>
        <w:t>- Procedimentos de média e alta complexidade (SIH/SIA-SUS).</w:t>
      </w:r>
      <w:r>
        <w:br/>
        <w:t>- Prioridade: terapia renal substitutiva, oncologia (quimio/radioterapia), transplantes, cirurgias cardíacas neonatais e reabilitação.</w:t>
      </w:r>
      <w:r>
        <w:br/>
        <w:t>- Transporte definido pela análise do auditor (mais econômico e adequado ao caso).</w:t>
      </w:r>
      <w:r>
        <w:br/>
        <w:t xml:space="preserve">- Prestação de contas obrigatória em </w:t>
      </w:r>
      <w:proofErr w:type="spellStart"/>
      <w:r>
        <w:t>até</w:t>
      </w:r>
      <w:proofErr w:type="spellEnd"/>
      <w:r>
        <w:t xml:space="preserve"> 5 </w:t>
      </w:r>
      <w:proofErr w:type="spellStart"/>
      <w:r>
        <w:t>dias</w:t>
      </w:r>
      <w:proofErr w:type="spellEnd"/>
      <w:r>
        <w:t xml:space="preserve"> </w:t>
      </w:r>
      <w:proofErr w:type="spellStart"/>
      <w:r>
        <w:t>úteis</w:t>
      </w:r>
      <w:proofErr w:type="spellEnd"/>
      <w:r>
        <w:t>.</w:t>
      </w:r>
    </w:p>
    <w:p w14:paraId="12E4238F" w14:textId="77777777" w:rsidR="001D5B89" w:rsidRDefault="001D5B89"/>
    <w:p w14:paraId="6ADAA85D" w14:textId="77777777" w:rsidR="00D1332B" w:rsidRDefault="00000000">
      <w:pPr>
        <w:pStyle w:val="Ttulo2"/>
      </w:pPr>
      <w:r>
        <w:lastRenderedPageBreak/>
        <w:t>9. Controle e Auditoria</w:t>
      </w:r>
    </w:p>
    <w:p w14:paraId="6179E3FB" w14:textId="77777777" w:rsidR="00D1332B" w:rsidRDefault="00000000">
      <w:r>
        <w:t>• Todos os comprovantes devem ser arquivados.</w:t>
      </w:r>
      <w:r>
        <w:br/>
        <w:t>• Processos com inconsistências (rasuras, documentos ilegíveis, fraude) devem ser encaminhados para apuração.</w:t>
      </w:r>
      <w:r>
        <w:br/>
        <w:t xml:space="preserve">• Reembolsos somente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comprovação</w:t>
      </w:r>
      <w:proofErr w:type="spellEnd"/>
      <w:r>
        <w:t xml:space="preserve"> documental </w:t>
      </w:r>
      <w:proofErr w:type="spellStart"/>
      <w:r>
        <w:t>válida</w:t>
      </w:r>
      <w:proofErr w:type="spellEnd"/>
      <w:r>
        <w:t>.</w:t>
      </w:r>
    </w:p>
    <w:p w14:paraId="6825F658" w14:textId="77777777" w:rsidR="001D5B89" w:rsidRDefault="001D5B89"/>
    <w:p w14:paraId="1C2BF91D" w14:textId="77777777" w:rsidR="00D1332B" w:rsidRDefault="00000000">
      <w:pPr>
        <w:pStyle w:val="Ttulo2"/>
      </w:pPr>
      <w:r>
        <w:t>10. Organograma – Fluxo do Processo TFD</w:t>
      </w:r>
    </w:p>
    <w:p w14:paraId="5E009AB6" w14:textId="58DE6675" w:rsidR="001D5B89" w:rsidRDefault="00000000">
      <w:r>
        <w:t>Fluxo do processo representado em etapas sequenciais:</w:t>
      </w:r>
      <w:r>
        <w:br/>
      </w:r>
      <w:r>
        <w:br/>
        <w:t>Beneficiário protocola solicitação → Auditoria TFD avalia → (Autorizado) Confirmação de atendimento/agendamento → Coordenação do TFD organiza processo → DUCARA → Fundo Estadual de Saúde (FES) → Pagamento → Prestação de contas.</w:t>
      </w:r>
      <w:r>
        <w:br/>
      </w:r>
      <w:r>
        <w:br/>
        <w:t xml:space="preserve">Em caso de indeferimento → </w:t>
      </w:r>
      <w:proofErr w:type="spellStart"/>
      <w:r>
        <w:t>Arquivamento</w:t>
      </w:r>
      <w:proofErr w:type="spellEnd"/>
      <w:r>
        <w:t xml:space="preserve"> do </w:t>
      </w:r>
      <w:proofErr w:type="spellStart"/>
      <w:r>
        <w:t>processo</w:t>
      </w:r>
      <w:proofErr w:type="spellEnd"/>
      <w:r>
        <w:t>.</w:t>
      </w:r>
      <w:r w:rsidR="001D5B89">
        <w:br/>
      </w:r>
    </w:p>
    <w:p w14:paraId="670D858C" w14:textId="77777777" w:rsidR="001D5B89" w:rsidRDefault="001D5B89">
      <w:r>
        <w:br w:type="page"/>
      </w:r>
    </w:p>
    <w:p w14:paraId="754E83F7" w14:textId="000C81A9" w:rsidR="001D5B89" w:rsidRDefault="001D5B89" w:rsidP="001D5B89">
      <w:pPr>
        <w:pStyle w:val="Ttulo1"/>
      </w:pPr>
      <w:proofErr w:type="spellStart"/>
      <w:r>
        <w:lastRenderedPageBreak/>
        <w:t>Fluxograma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de Entrada 1ª </w:t>
      </w:r>
      <w:proofErr w:type="spellStart"/>
      <w:r>
        <w:t>Vez</w:t>
      </w:r>
      <w:proofErr w:type="spellEnd"/>
      <w:r>
        <w:t xml:space="preserve"> TFD</w:t>
      </w:r>
    </w:p>
    <w:p w14:paraId="31D6EBA2" w14:textId="77777777" w:rsidR="001D5B89" w:rsidRDefault="001D5B89" w:rsidP="001D5B89"/>
    <w:p w14:paraId="3760116F" w14:textId="77777777" w:rsidR="001D5B89" w:rsidRDefault="001D5B89"/>
    <w:p w14:paraId="3906E726" w14:textId="31E4F38C" w:rsidR="00D1332B" w:rsidRDefault="001D5B89">
      <w:r>
        <w:rPr>
          <w:noProof/>
          <w:lang w:val="pt-BR" w:eastAsia="pt-BR"/>
        </w:rPr>
        <w:drawing>
          <wp:anchor distT="0" distB="0" distL="114300" distR="114300" simplePos="0" relativeHeight="251661312" behindDoc="0" locked="0" layoutInCell="1" allowOverlap="1" wp14:anchorId="72BB99EB" wp14:editId="2F9105A0">
            <wp:simplePos x="0" y="0"/>
            <wp:positionH relativeFrom="page">
              <wp:posOffset>1143000</wp:posOffset>
            </wp:positionH>
            <wp:positionV relativeFrom="paragraph">
              <wp:posOffset>319405</wp:posOffset>
            </wp:positionV>
            <wp:extent cx="7920000" cy="4454475"/>
            <wp:effectExtent l="0" t="0" r="5080" b="3810"/>
            <wp:wrapThrough wrapText="bothSides">
              <wp:wrapPolygon edited="0">
                <wp:start x="0" y="0"/>
                <wp:lineTo x="0" y="21526"/>
                <wp:lineTo x="21562" y="21526"/>
                <wp:lineTo x="21562" y="0"/>
                <wp:lineTo x="0" y="0"/>
              </wp:wrapPolygon>
            </wp:wrapThrough>
            <wp:docPr id="2" name="Imagem 2" descr="Diagr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Diagram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0" cy="445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8B15F9" w14:textId="77777777" w:rsidR="001D5B89" w:rsidRPr="001D5B89" w:rsidRDefault="001D5B89" w:rsidP="001D5B89"/>
    <w:p w14:paraId="63BE4B25" w14:textId="77777777" w:rsidR="001D5B89" w:rsidRPr="001D5B89" w:rsidRDefault="001D5B89" w:rsidP="001D5B89"/>
    <w:p w14:paraId="7157EFA0" w14:textId="77777777" w:rsidR="001D5B89" w:rsidRPr="001D5B89" w:rsidRDefault="001D5B89" w:rsidP="001D5B89"/>
    <w:p w14:paraId="2AC3B3A6" w14:textId="77777777" w:rsidR="001D5B89" w:rsidRPr="001D5B89" w:rsidRDefault="001D5B89" w:rsidP="001D5B89"/>
    <w:p w14:paraId="283DD326" w14:textId="77777777" w:rsidR="001D5B89" w:rsidRPr="001D5B89" w:rsidRDefault="001D5B89" w:rsidP="001D5B89"/>
    <w:p w14:paraId="5829BFE7" w14:textId="77777777" w:rsidR="001D5B89" w:rsidRPr="001D5B89" w:rsidRDefault="001D5B89" w:rsidP="001D5B89"/>
    <w:p w14:paraId="1385AE85" w14:textId="77777777" w:rsidR="001D5B89" w:rsidRPr="001D5B89" w:rsidRDefault="001D5B89" w:rsidP="001D5B89"/>
    <w:p w14:paraId="29148D5B" w14:textId="77777777" w:rsidR="001D5B89" w:rsidRPr="001D5B89" w:rsidRDefault="001D5B89" w:rsidP="001D5B89"/>
    <w:p w14:paraId="7DF15E15" w14:textId="77777777" w:rsidR="001D5B89" w:rsidRDefault="001D5B89" w:rsidP="001D5B89">
      <w:pPr>
        <w:jc w:val="center"/>
      </w:pPr>
    </w:p>
    <w:p w14:paraId="7AD6D542" w14:textId="5A525006" w:rsidR="001D5B89" w:rsidRDefault="001D5B89" w:rsidP="001D5B89">
      <w:pPr>
        <w:pStyle w:val="Ttulo1"/>
      </w:pPr>
      <w:proofErr w:type="spellStart"/>
      <w:r>
        <w:t>Fluxograma</w:t>
      </w:r>
      <w:proofErr w:type="spellEnd"/>
      <w:r>
        <w:t xml:space="preserve"> </w:t>
      </w:r>
      <w:proofErr w:type="spellStart"/>
      <w:r>
        <w:t>Prestação</w:t>
      </w:r>
      <w:proofErr w:type="spellEnd"/>
      <w:r>
        <w:t xml:space="preserve"> de Contas </w:t>
      </w:r>
      <w:proofErr w:type="spellStart"/>
      <w:r>
        <w:t>Viagem</w:t>
      </w:r>
      <w:proofErr w:type="spellEnd"/>
      <w:r>
        <w:t xml:space="preserve"> e </w:t>
      </w:r>
      <w:proofErr w:type="spellStart"/>
      <w:r>
        <w:t>Ressarcimento</w:t>
      </w:r>
      <w:proofErr w:type="spellEnd"/>
      <w:r>
        <w:t xml:space="preserve"> TFD</w:t>
      </w:r>
    </w:p>
    <w:p w14:paraId="6A9BC865" w14:textId="77777777" w:rsidR="001D5B89" w:rsidRDefault="001D5B89" w:rsidP="001D5B89"/>
    <w:p w14:paraId="0CBCAF49" w14:textId="77777777" w:rsidR="001D5B89" w:rsidRDefault="001D5B89" w:rsidP="001D5B89"/>
    <w:p w14:paraId="54A1174E" w14:textId="5468FDB4" w:rsidR="001D5B89" w:rsidRPr="001D5B89" w:rsidRDefault="001D5B89" w:rsidP="001D5B89">
      <w:r>
        <w:rPr>
          <w:noProof/>
          <w:lang w:val="pt-BR" w:eastAsia="pt-BR"/>
        </w:rPr>
        <w:drawing>
          <wp:anchor distT="0" distB="0" distL="114300" distR="114300" simplePos="0" relativeHeight="251663360" behindDoc="0" locked="0" layoutInCell="1" allowOverlap="1" wp14:anchorId="5AD9C4C5" wp14:editId="4AC752F0">
            <wp:simplePos x="0" y="0"/>
            <wp:positionH relativeFrom="page">
              <wp:posOffset>1143000</wp:posOffset>
            </wp:positionH>
            <wp:positionV relativeFrom="paragraph">
              <wp:posOffset>319405</wp:posOffset>
            </wp:positionV>
            <wp:extent cx="8275463" cy="6206247"/>
            <wp:effectExtent l="0" t="0" r="0" b="4445"/>
            <wp:wrapThrough wrapText="bothSides">
              <wp:wrapPolygon edited="0">
                <wp:start x="0" y="0"/>
                <wp:lineTo x="0" y="21549"/>
                <wp:lineTo x="21530" y="21549"/>
                <wp:lineTo x="21530" y="0"/>
                <wp:lineTo x="0" y="0"/>
              </wp:wrapPolygon>
            </wp:wrapThrough>
            <wp:docPr id="6" name="Imagem 6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Diagrama&#10;&#10;O conteúdo gerado por IA pode estar incorre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5463" cy="6206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D5B89" w:rsidRPr="001D5B89" w:rsidSect="001D5B89">
      <w:headerReference w:type="defaul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78AF" w14:textId="77777777" w:rsidR="007C3ED6" w:rsidRDefault="007C3ED6" w:rsidP="001D5B89">
      <w:pPr>
        <w:spacing w:after="0" w:line="240" w:lineRule="auto"/>
      </w:pPr>
      <w:r>
        <w:separator/>
      </w:r>
    </w:p>
  </w:endnote>
  <w:endnote w:type="continuationSeparator" w:id="0">
    <w:p w14:paraId="5A16D048" w14:textId="77777777" w:rsidR="007C3ED6" w:rsidRDefault="007C3ED6" w:rsidP="001D5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877C6" w14:textId="77777777" w:rsidR="007C3ED6" w:rsidRDefault="007C3ED6" w:rsidP="001D5B89">
      <w:pPr>
        <w:spacing w:after="0" w:line="240" w:lineRule="auto"/>
      </w:pPr>
      <w:r>
        <w:separator/>
      </w:r>
    </w:p>
  </w:footnote>
  <w:footnote w:type="continuationSeparator" w:id="0">
    <w:p w14:paraId="7B65CDB9" w14:textId="77777777" w:rsidR="007C3ED6" w:rsidRDefault="007C3ED6" w:rsidP="001D5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3F7BD" w14:textId="7F42DB4A" w:rsidR="001D5B89" w:rsidRDefault="001D5B8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216" behindDoc="1" locked="0" layoutInCell="1" allowOverlap="1" wp14:anchorId="42E39F57" wp14:editId="50D6939B">
          <wp:simplePos x="0" y="0"/>
          <wp:positionH relativeFrom="column">
            <wp:posOffset>1089660</wp:posOffset>
          </wp:positionH>
          <wp:positionV relativeFrom="paragraph">
            <wp:posOffset>-251460</wp:posOffset>
          </wp:positionV>
          <wp:extent cx="3028693" cy="619125"/>
          <wp:effectExtent l="0" t="0" r="0" b="0"/>
          <wp:wrapNone/>
          <wp:docPr id="3" name="Picture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Logotip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436" b="38122"/>
                  <a:stretch/>
                </pic:blipFill>
                <pic:spPr bwMode="auto">
                  <a:xfrm>
                    <a:off x="0" y="0"/>
                    <a:ext cx="3028693" cy="619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6219">
    <w:abstractNumId w:val="8"/>
  </w:num>
  <w:num w:numId="2" w16cid:durableId="514613648">
    <w:abstractNumId w:val="6"/>
  </w:num>
  <w:num w:numId="3" w16cid:durableId="1180894773">
    <w:abstractNumId w:val="5"/>
  </w:num>
  <w:num w:numId="4" w16cid:durableId="1980065750">
    <w:abstractNumId w:val="4"/>
  </w:num>
  <w:num w:numId="5" w16cid:durableId="767315748">
    <w:abstractNumId w:val="7"/>
  </w:num>
  <w:num w:numId="6" w16cid:durableId="172454153">
    <w:abstractNumId w:val="3"/>
  </w:num>
  <w:num w:numId="7" w16cid:durableId="1255432782">
    <w:abstractNumId w:val="2"/>
  </w:num>
  <w:num w:numId="8" w16cid:durableId="998651241">
    <w:abstractNumId w:val="1"/>
  </w:num>
  <w:num w:numId="9" w16cid:durableId="1882743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5B89"/>
    <w:rsid w:val="0029639D"/>
    <w:rsid w:val="00326F90"/>
    <w:rsid w:val="004D2809"/>
    <w:rsid w:val="007C3ED6"/>
    <w:rsid w:val="00AA1D8D"/>
    <w:rsid w:val="00B47730"/>
    <w:rsid w:val="00CB0664"/>
    <w:rsid w:val="00D133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666B6"/>
  <w14:defaultImageDpi w14:val="300"/>
  <w15:docId w15:val="{E7D91FA9-9374-43DA-8351-BE7586D4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587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Allan Leite</cp:lastModifiedBy>
  <cp:revision>2</cp:revision>
  <dcterms:created xsi:type="dcterms:W3CDTF">2025-09-14T14:08:00Z</dcterms:created>
  <dcterms:modified xsi:type="dcterms:W3CDTF">2025-09-14T14:08:00Z</dcterms:modified>
  <cp:category/>
</cp:coreProperties>
</file>